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A90D9C" w:rsidRPr="00BE72C0" w:rsidRDefault="009B28F2" w:rsidP="00BE72C0">
      <w:pPr>
        <w:spacing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Terry V. Ohio</w:t>
      </w:r>
    </w:p>
    <w:p w:rsidR="00A90D9C" w:rsidRPr="00BE72C0" w:rsidRDefault="009B28F2" w:rsidP="00BE72C0">
      <w:pPr>
        <w:spacing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Student’s Name</w:t>
      </w:r>
    </w:p>
    <w:p w:rsidR="009B28F2" w:rsidRPr="00BE72C0" w:rsidRDefault="009B28F2" w:rsidP="00BE72C0">
      <w:pPr>
        <w:spacing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Institutional Affiliation</w:t>
      </w:r>
    </w:p>
    <w:p w:rsidR="00A90D9C" w:rsidRDefault="00A90D9C"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Pr="00BE72C0" w:rsidRDefault="00E12662" w:rsidP="00E12662">
      <w:pPr>
        <w:spacing w:line="480" w:lineRule="auto"/>
        <w:contextualSpacing/>
        <w:mirrorIndents/>
        <w:rPr>
          <w:rFonts w:ascii="Times New Roman" w:hAnsi="Times New Roman" w:cs="Times New Roman"/>
          <w:sz w:val="24"/>
          <w:szCs w:val="24"/>
        </w:rPr>
      </w:pPr>
    </w:p>
    <w:p w:rsidR="000B0B9E" w:rsidRPr="00BE72C0" w:rsidRDefault="000B0B9E" w:rsidP="00BE72C0">
      <w:pPr>
        <w:spacing w:line="480" w:lineRule="auto"/>
        <w:contextualSpacing/>
        <w:mirrorIndents/>
        <w:rPr>
          <w:rFonts w:ascii="Times New Roman" w:hAnsi="Times New Roman" w:cs="Times New Roman"/>
          <w:b/>
          <w:sz w:val="24"/>
          <w:szCs w:val="24"/>
        </w:rPr>
      </w:pPr>
    </w:p>
    <w:p w:rsidR="00A90D9C" w:rsidRPr="00BE72C0" w:rsidRDefault="00A90D9C" w:rsidP="00BE72C0">
      <w:pPr>
        <w:spacing w:line="480" w:lineRule="auto"/>
        <w:contextualSpacing/>
        <w:mirrorIndents/>
        <w:jc w:val="center"/>
        <w:rPr>
          <w:rFonts w:ascii="Times New Roman" w:hAnsi="Times New Roman" w:cs="Times New Roman"/>
          <w:b/>
          <w:sz w:val="24"/>
          <w:szCs w:val="24"/>
        </w:rPr>
      </w:pPr>
      <w:r w:rsidRPr="00BE72C0">
        <w:rPr>
          <w:rFonts w:ascii="Times New Roman" w:hAnsi="Times New Roman" w:cs="Times New Roman"/>
          <w:b/>
          <w:sz w:val="24"/>
          <w:szCs w:val="24"/>
        </w:rPr>
        <w:lastRenderedPageBreak/>
        <w:t>Terry v. Ohio</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Summary of Case Facts</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Terry V. Ohio is a 1968 US Supreme court decision that affirmed that it is not against the constitution when a police officer decides to stop a person randomly and frisk them because they have a reasonable belief that the individual</w:t>
      </w:r>
      <w:r w:rsidR="00C31452">
        <w:rPr>
          <w:rFonts w:ascii="Times New Roman" w:hAnsi="Times New Roman" w:cs="Times New Roman"/>
          <w:sz w:val="24"/>
          <w:szCs w:val="24"/>
        </w:rPr>
        <w:t xml:space="preserve"> is a suspect</w:t>
      </w:r>
      <w:r w:rsidRPr="00BE72C0">
        <w:rPr>
          <w:rFonts w:ascii="Times New Roman" w:hAnsi="Times New Roman" w:cs="Times New Roman"/>
          <w:sz w:val="24"/>
          <w:szCs w:val="24"/>
        </w:rPr>
        <w:t xml:space="preserve"> Moreover, </w:t>
      </w:r>
      <w:r w:rsidR="00C31452">
        <w:rPr>
          <w:rFonts w:ascii="Times New Roman" w:hAnsi="Times New Roman" w:cs="Times New Roman"/>
          <w:sz w:val="24"/>
          <w:szCs w:val="24"/>
        </w:rPr>
        <w:t xml:space="preserve">it </w:t>
      </w:r>
      <w:r w:rsidRPr="00BE72C0">
        <w:rPr>
          <w:rFonts w:ascii="Times New Roman" w:hAnsi="Times New Roman" w:cs="Times New Roman"/>
          <w:sz w:val="24"/>
          <w:szCs w:val="24"/>
        </w:rPr>
        <w:t xml:space="preserve">is no against the fourth amendment which explains about the safeguard against unreasonable seizure or search. </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Question of Law before the case</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Whether the </w:t>
      </w:r>
      <w:r w:rsidR="00BE72C0" w:rsidRPr="00BE72C0">
        <w:rPr>
          <w:rFonts w:ascii="Times New Roman" w:hAnsi="Times New Roman" w:cs="Times New Roman"/>
          <w:sz w:val="24"/>
          <w:szCs w:val="24"/>
        </w:rPr>
        <w:t>“</w:t>
      </w:r>
      <w:r w:rsidRPr="00BE72C0">
        <w:rPr>
          <w:rFonts w:ascii="Times New Roman" w:hAnsi="Times New Roman" w:cs="Times New Roman"/>
          <w:sz w:val="24"/>
          <w:szCs w:val="24"/>
        </w:rPr>
        <w:t>stop</w:t>
      </w:r>
      <w:r w:rsidR="00BE72C0" w:rsidRPr="00BE72C0">
        <w:rPr>
          <w:rFonts w:ascii="Times New Roman" w:hAnsi="Times New Roman" w:cs="Times New Roman"/>
          <w:sz w:val="24"/>
          <w:szCs w:val="24"/>
        </w:rPr>
        <w:t>”</w:t>
      </w:r>
      <w:r w:rsidRPr="00BE72C0">
        <w:rPr>
          <w:rFonts w:ascii="Times New Roman" w:hAnsi="Times New Roman" w:cs="Times New Roman"/>
          <w:sz w:val="24"/>
          <w:szCs w:val="24"/>
        </w:rPr>
        <w:t xml:space="preserve"> and </w:t>
      </w:r>
      <w:r w:rsidR="00BE72C0" w:rsidRPr="00BE72C0">
        <w:rPr>
          <w:rFonts w:ascii="Times New Roman" w:hAnsi="Times New Roman" w:cs="Times New Roman"/>
          <w:sz w:val="24"/>
          <w:szCs w:val="24"/>
        </w:rPr>
        <w:t>“</w:t>
      </w:r>
      <w:r w:rsidRPr="00BE72C0">
        <w:rPr>
          <w:rFonts w:ascii="Times New Roman" w:hAnsi="Times New Roman" w:cs="Times New Roman"/>
          <w:sz w:val="24"/>
          <w:szCs w:val="24"/>
        </w:rPr>
        <w:t>frisk</w:t>
      </w:r>
      <w:r w:rsidR="00BE72C0" w:rsidRPr="00BE72C0">
        <w:rPr>
          <w:rFonts w:ascii="Times New Roman" w:hAnsi="Times New Roman" w:cs="Times New Roman"/>
          <w:sz w:val="24"/>
          <w:szCs w:val="24"/>
        </w:rPr>
        <w:t>” tactic</w:t>
      </w:r>
      <w:r w:rsidRPr="00BE72C0">
        <w:rPr>
          <w:rFonts w:ascii="Times New Roman" w:hAnsi="Times New Roman" w:cs="Times New Roman"/>
          <w:sz w:val="24"/>
          <w:szCs w:val="24"/>
        </w:rPr>
        <w:t xml:space="preserve"> is violation of the fourth Amendment</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Ruling and question of law</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Provided the officer has reasonable doubt to suspect an individual, they can do a “Stop” and “Frisk”.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Case details</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In October 1963, a Cleveland officer, McFadden, on patrol in plain clothes noted three men were walking along the same route severally, and pausing to look in the same store</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 xml:space="preserve">Terry v. </w:t>
      </w:r>
      <w:r w:rsidR="00BE72C0" w:rsidRPr="00BE72C0">
        <w:rPr>
          <w:rFonts w:ascii="Times New Roman" w:hAnsi="Times New Roman" w:cs="Times New Roman"/>
          <w:sz w:val="24"/>
          <w:szCs w:val="24"/>
          <w:shd w:val="clear" w:color="auto" w:fill="FFFFFF"/>
        </w:rPr>
        <w:t>Ohio,</w:t>
      </w:r>
      <w:r w:rsidR="000F5171" w:rsidRPr="00BE72C0">
        <w:rPr>
          <w:rFonts w:ascii="Times New Roman" w:hAnsi="Times New Roman" w:cs="Times New Roman"/>
          <w:sz w:val="24"/>
          <w:szCs w:val="24"/>
          <w:shd w:val="clear" w:color="auto" w:fill="FFFFFF"/>
        </w:rPr>
        <w:t xml:space="preserve"> 2019)</w:t>
      </w:r>
      <w:r w:rsidRPr="00BE72C0">
        <w:rPr>
          <w:rFonts w:ascii="Times New Roman" w:hAnsi="Times New Roman" w:cs="Times New Roman"/>
          <w:sz w:val="24"/>
          <w:szCs w:val="24"/>
        </w:rPr>
        <w:t>. He suspected they could be up to some mischief. Mr. McFadden identified himself as a policeman and asked their names. McFadden did a search on the two entirely to the minimally necessary requirements to help him note if the suspects were and to take the weapons in case he found any, after frisking the McFadden found John W. Terry and Richard Chilton with guns and charged the two with possession of concealed weapons. The officer did not do a comprehensive search for the evidence of criminal activity he found.</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 court ruled that the weapons were enough evidence for the officer to believe that the suspects were acting suspiciously. The petitioners appealed in the Supreme court, which also affirmed that the guns should be admissible. Nonetheless, the supreme court did not oppose the notion that stop and frisk did not implicate the fourth amendment protections on unreasonable seizures or searches. Although an officer is required to have a search warrant before the seizure, the court stated that this procedure is not applicable always, because in some instances they need to make a quick decision.</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Impact of the court's ruling</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 ruling in Terry v. Ohio still hold, and police do not have to delay commencing investigation action until the crime happens. The operation in some instances entails officers stopping, questioning and frisking people provided that they have enough reason to suspect the individual of a biased act. Markedly, this tactic if stop, question, and frisk helped in reducing the crime rate in cities around the United States during the nineties. For instance, New York City had a record of 2,200 homicide cases in 1990, and twenty-five years later, the rate had decreased to 350, with the most significant decrease happening in mid-nineties</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xml:space="preserve">. The stop and frisk tactic </w:t>
      </w:r>
      <w:r w:rsidR="00826BC6" w:rsidRPr="00BE72C0">
        <w:rPr>
          <w:rFonts w:ascii="Times New Roman" w:hAnsi="Times New Roman" w:cs="Times New Roman"/>
          <w:sz w:val="24"/>
          <w:szCs w:val="24"/>
        </w:rPr>
        <w:t>were</w:t>
      </w:r>
      <w:r w:rsidRPr="00BE72C0">
        <w:rPr>
          <w:rFonts w:ascii="Times New Roman" w:hAnsi="Times New Roman" w:cs="Times New Roman"/>
          <w:sz w:val="24"/>
          <w:szCs w:val="24"/>
        </w:rPr>
        <w:t xml:space="preserve"> a key part of the broader strategy that was used by the police to decrease homicide cases.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Additionally, the decision resulted in an increase in transaction costs of criminals transacting illicit or counter brand products making the dealers conduct most of their transactions indoors. Therefore, this made the streets and other public places safe.</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There was a claim in NY where a federal judge raised concern about police only using the stop and frisk policy in the neighborhoods mainly occupied by minorities</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Newberry, 2017)</w:t>
      </w:r>
      <w:r w:rsidRPr="00BE72C0">
        <w:rPr>
          <w:rFonts w:ascii="Times New Roman" w:hAnsi="Times New Roman" w:cs="Times New Roman"/>
          <w:sz w:val="24"/>
          <w:szCs w:val="24"/>
        </w:rPr>
        <w:t xml:space="preserve">. The mayor reformed the policy to settle any pending cases on that notion. However, this did not term the stop and frisk as </w:t>
      </w:r>
      <w:r w:rsidR="00E12662" w:rsidRPr="00BE72C0">
        <w:rPr>
          <w:rFonts w:ascii="Times New Roman" w:hAnsi="Times New Roman" w:cs="Times New Roman"/>
          <w:sz w:val="24"/>
          <w:szCs w:val="24"/>
        </w:rPr>
        <w:t>unconstitutional;</w:t>
      </w:r>
      <w:r w:rsidRPr="00BE72C0">
        <w:rPr>
          <w:rFonts w:ascii="Times New Roman" w:hAnsi="Times New Roman" w:cs="Times New Roman"/>
          <w:sz w:val="24"/>
          <w:szCs w:val="24"/>
        </w:rPr>
        <w:t xml:space="preserve"> but instead, the method being used by NY police to implement it was the illegal part.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Controversies surrounding the case</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 case on Terry v. Ohio was controversial because of several reasons. First, the court explained that McFadden had enough reasons to suspect that the three were about to conduct a crime, thus the officer was reasonable enough to suspect the three could be dangerous or even armed. However, prior to the officer feeling a gun through the defendants' clothes, the only evidence he had of a crime being planned or having taken place was based on suspicion. Thus, it can raise the question of up to what level the Fourth Amendment protects individuals on the road.</w:t>
      </w:r>
    </w:p>
    <w:p w:rsidR="00E05DD0" w:rsidRPr="00BE72C0" w:rsidRDefault="00E05DD0" w:rsidP="00E12662">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Additionally, it can be controversial as to whether there is a difference between a "stop" and an "arrest search, "between a "search" and a "frisk." Furthermore, it is not clear as to what suspicion is just a probable cause or reasonable enough. For instance, in the case of Terry v. Ohio. It is unclear whether the weapons were inadmissible in court.</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Scholarly Analysis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For a police officer to decide to seize and search a person, he must be having enough reason to suspect that person. In this case, Terry and his counterpart were armed and dangerous, thus it was important for the police to take swift measures for him to understand the facts of the situation but at the same time protecting himself from any danger</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xml:space="preserve">. However, this does not mean that any unusual conduct that an officer sees means the suspect is </w:t>
      </w:r>
      <w:r w:rsidR="00826BC6" w:rsidRPr="00BE72C0">
        <w:rPr>
          <w:rFonts w:ascii="Times New Roman" w:hAnsi="Times New Roman" w:cs="Times New Roman"/>
          <w:sz w:val="24"/>
          <w:szCs w:val="24"/>
        </w:rPr>
        <w:t>armed or</w:t>
      </w:r>
      <w:r w:rsidRPr="00BE72C0">
        <w:rPr>
          <w:rFonts w:ascii="Times New Roman" w:hAnsi="Times New Roman" w:cs="Times New Roman"/>
          <w:sz w:val="24"/>
          <w:szCs w:val="24"/>
        </w:rPr>
        <w:t xml:space="preserve"> dangerous. Police are allowed by the constitution to search the outer clothing of a suspect with the aim of finding any hidden weapons for the officer's protection or other citizens around. Such frisking is permittable in the fourth amendment, and in case a weapon is seized during the such, it can be used as evidence against the person in the court of law</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However, there are counter-arguments that Stop and Frisk is a policy which gives police officers more power than a magistrate, meaning that American courts have taken a very extensive move down the totalitarian path</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Cooper,2019)</w:t>
      </w:r>
      <w:r w:rsidRPr="00BE72C0">
        <w:rPr>
          <w:rFonts w:ascii="Times New Roman" w:hAnsi="Times New Roman" w:cs="Times New Roman"/>
          <w:sz w:val="24"/>
          <w:szCs w:val="24"/>
        </w:rPr>
        <w:t xml:space="preserve">. Although this step is applicable in handling modern forms of lawlessness, it should have been taken through willingly choice of citizens through an amendment of the constitution. Although there have been several instances during American history when the court has had to overlook constitutional guarantees and give the police officers a priority, this is probably the greatest of all such scenarios. However, a situation whereby police are allowed to be sovereign, and they have a right to stop someone anytime they feel that he or she is suspicious as per their discretion is a decision that should have been made through a debate which entailed all </w:t>
      </w:r>
      <w:r w:rsidR="00E12662">
        <w:rPr>
          <w:rFonts w:ascii="Times New Roman" w:hAnsi="Times New Roman" w:cs="Times New Roman"/>
          <w:sz w:val="24"/>
          <w:szCs w:val="24"/>
        </w:rPr>
        <w:t xml:space="preserve">citizens </w:t>
      </w:r>
      <w:r w:rsidR="00F65E26" w:rsidRPr="00BE72C0">
        <w:rPr>
          <w:rFonts w:ascii="Times New Roman" w:hAnsi="Times New Roman" w:cs="Times New Roman"/>
          <w:sz w:val="24"/>
          <w:szCs w:val="24"/>
        </w:rPr>
        <w:t>(</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Although the rule positively improved the ability of pollute investigating suspicious occurrences, it is still an issue of debate as to whether this tactic is a threat to liberty or a good strategy to fight crimes.</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Moreover, from the NY debate, it is evident that the police can easily abuse this power printed to them. The police officers can target minority groups or neighborhoods with little or no justification. Moreover, this tactic is amongst the main factors that expose Africa Americans to violence.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fourth amendment of the constitution safeguards individuals on matters pertaining to arrest or investigation and prohibits the utilization of materials confiscated without a warrant as court-room evidence. The level of protection a citizen gets in any circumstance is determined by apprehension nature, characteristics of the location being searched, and the circumstance under which the search is being conducted. Nonetheless, for any officer to keep an individual in custody, they need to have reasonable suspicion to uphold that the individual was possibly involved in some criminal activities.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defendant's party tried surprising evidence, but the prosecutor declared that the weapons were </w:t>
      </w:r>
      <w:r w:rsidR="006023F0" w:rsidRPr="00BE72C0">
        <w:rPr>
          <w:rFonts w:ascii="Times New Roman" w:hAnsi="Times New Roman" w:cs="Times New Roman"/>
          <w:sz w:val="24"/>
          <w:szCs w:val="24"/>
        </w:rPr>
        <w:t>apprehended</w:t>
      </w:r>
      <w:r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during a</w:t>
      </w:r>
      <w:r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legal</w:t>
      </w:r>
      <w:r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pursuit</w:t>
      </w:r>
      <w:r w:rsidRPr="00BE72C0">
        <w:rPr>
          <w:rFonts w:ascii="Times New Roman" w:hAnsi="Times New Roman" w:cs="Times New Roman"/>
          <w:sz w:val="24"/>
          <w:szCs w:val="24"/>
        </w:rPr>
        <w:t xml:space="preserve"> operation. Additionally, the court rejected the appeal for weapon suppression, explaining that this would be used as proof on the allegation that the police was suspecting the petitioner and Chilton to be up to some criminal activities. Thus, according to the prosecutor, questioning the suspects was in order, and for the officer had a right to frisk the suspects for him guarantee his safety while handling them.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Conclusion</w:t>
      </w:r>
    </w:p>
    <w:p w:rsid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In the case Terry v. Ohio, the court's decision was that police can stop a suspect and frisk them in the street when they have a reasonable belief that the suspect is doing, about to do or has done a crime. The ruling has helped in minimizing the crime rates in most cities. However, there are minority groups who feel that the police misuse this ruling and focus it mostly on the minority neighborhoods. Nonetheless, making the stop and frisk legal should have been made by involving the entire public through a debate on the constitutional amendment because it is a matter of great public interest.</w:t>
      </w:r>
    </w:p>
    <w:p w:rsidR="00693095" w:rsidRPr="00BE72C0" w:rsidRDefault="00BE72C0" w:rsidP="00E12662">
      <w:pPr>
        <w:rPr>
          <w:rFonts w:ascii="Times New Roman" w:hAnsi="Times New Roman" w:cs="Times New Roman"/>
          <w:sz w:val="24"/>
          <w:szCs w:val="24"/>
        </w:rPr>
      </w:pPr>
      <w:r>
        <w:rPr>
          <w:rFonts w:ascii="Times New Roman" w:hAnsi="Times New Roman" w:cs="Times New Roman"/>
          <w:sz w:val="24"/>
          <w:szCs w:val="24"/>
        </w:rPr>
        <w:br w:type="page"/>
      </w:r>
    </w:p>
    <w:p w:rsidR="006168CB" w:rsidRPr="00BE72C0" w:rsidRDefault="006168CB" w:rsidP="00BE72C0">
      <w:pPr>
        <w:spacing w:after="0"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Reference</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 xml:space="preserve">Cooper, M. (2019). THE DIALLO SHOOTING: THE STOP-AND-FRISK; Procedure Was Once to Protect the Police. Retrieved from </w:t>
      </w:r>
      <w:hyperlink r:id="rId6" w:history="1">
        <w:r w:rsidRPr="00BE72C0">
          <w:rPr>
            <w:rStyle w:val="Hyperlink"/>
            <w:rFonts w:ascii="Times New Roman" w:hAnsi="Times New Roman" w:cs="Times New Roman"/>
            <w:color w:val="auto"/>
            <w:sz w:val="24"/>
            <w:szCs w:val="24"/>
            <w:shd w:val="clear" w:color="auto" w:fill="FFFFFF"/>
          </w:rPr>
          <w:t>https://www.nytimes.com/1999/03/29/nyregion/the-diallo-shooting-the-stop-and-frisk-procedure-was-once-to-protect-the-police.html</w:t>
        </w:r>
      </w:hyperlink>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 xml:space="preserve">LAWRENCE V. TEXAS. (2019). Retrieved from </w:t>
      </w:r>
      <w:hyperlink r:id="rId7" w:history="1">
        <w:r w:rsidRPr="00BE72C0">
          <w:rPr>
            <w:rStyle w:val="Hyperlink"/>
            <w:rFonts w:ascii="Times New Roman" w:hAnsi="Times New Roman" w:cs="Times New Roman"/>
            <w:color w:val="auto"/>
            <w:sz w:val="24"/>
            <w:szCs w:val="24"/>
            <w:shd w:val="clear" w:color="auto" w:fill="FFFFFF"/>
          </w:rPr>
          <w:t>https://www.law.cornell.edu/supct/html/02-102.ZO.html</w:t>
        </w:r>
      </w:hyperlink>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rPr>
      </w:pPr>
      <w:r w:rsidRPr="00BE72C0">
        <w:rPr>
          <w:rFonts w:ascii="Times New Roman" w:hAnsi="Times New Roman" w:cs="Times New Roman"/>
          <w:sz w:val="24"/>
          <w:szCs w:val="24"/>
          <w:shd w:val="clear" w:color="auto" w:fill="FFFFFF"/>
        </w:rPr>
        <w:t>Lemieux, S. (2019). How the supreme court learned to love gay couples | Scott Lemieux. Retrieved from https://www.theguardian.com/commentisfree/2016/mar/07/supreme-court-gay-couples-same-sex-lgbt</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McGuire, K. (2017). Why a postwar legal debate over the impact of private sex still matters today. </w:t>
      </w:r>
      <w:r w:rsidRPr="00BE72C0">
        <w:rPr>
          <w:rFonts w:ascii="Times New Roman" w:hAnsi="Times New Roman" w:cs="Times New Roman"/>
          <w:i/>
          <w:iCs/>
          <w:sz w:val="24"/>
          <w:szCs w:val="24"/>
          <w:shd w:val="clear" w:color="auto" w:fill="FFFFFF"/>
        </w:rPr>
        <w:t>The Conversation</w:t>
      </w:r>
      <w:r w:rsidRPr="00BE72C0">
        <w:rPr>
          <w:rFonts w:ascii="Times New Roman" w:hAnsi="Times New Roman" w:cs="Times New Roman"/>
          <w:sz w:val="24"/>
          <w:szCs w:val="24"/>
          <w:shd w:val="clear" w:color="auto" w:fill="FFFFFF"/>
        </w:rPr>
        <w:t>.</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Newberry, J. (2017). A Data Envelopment Analysis of the New York City Stop-and-Frisk Policy, Pre-and Post constitutionality Ruling. </w:t>
      </w:r>
      <w:r w:rsidRPr="00BE72C0">
        <w:rPr>
          <w:rFonts w:ascii="Times New Roman" w:hAnsi="Times New Roman" w:cs="Times New Roman"/>
          <w:i/>
          <w:iCs/>
          <w:sz w:val="24"/>
          <w:szCs w:val="24"/>
          <w:shd w:val="clear" w:color="auto" w:fill="FFFFFF"/>
        </w:rPr>
        <w:t>Papers in Applied Geography</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3</w:t>
      </w:r>
      <w:r w:rsidRPr="00BE72C0">
        <w:rPr>
          <w:rFonts w:ascii="Times New Roman" w:hAnsi="Times New Roman" w:cs="Times New Roman"/>
          <w:sz w:val="24"/>
          <w:szCs w:val="24"/>
          <w:shd w:val="clear" w:color="auto" w:fill="FFFFFF"/>
        </w:rPr>
        <w:t>(3-4), 308-321.</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rPr>
        <w:t>Romero, V. C. (2017).</w:t>
      </w:r>
      <w:r w:rsidRPr="00BE72C0">
        <w:rPr>
          <w:rFonts w:ascii="Times New Roman" w:hAnsi="Times New Roman" w:cs="Times New Roman"/>
          <w:sz w:val="24"/>
          <w:szCs w:val="24"/>
          <w:shd w:val="clear" w:color="auto" w:fill="FFFFFF"/>
        </w:rPr>
        <w:t xml:space="preserve"> An" Other" Christian Perspective on Lawrence V. Texas. </w:t>
      </w:r>
      <w:r w:rsidRPr="00BE72C0">
        <w:rPr>
          <w:rFonts w:ascii="Times New Roman" w:hAnsi="Times New Roman" w:cs="Times New Roman"/>
          <w:i/>
          <w:iCs/>
          <w:sz w:val="24"/>
          <w:szCs w:val="24"/>
          <w:shd w:val="clear" w:color="auto" w:fill="FFFFFF"/>
        </w:rPr>
        <w:t>Journal of Catholic Legal Studies</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45</w:t>
      </w:r>
      <w:r w:rsidRPr="00BE72C0">
        <w:rPr>
          <w:rFonts w:ascii="Times New Roman" w:hAnsi="Times New Roman" w:cs="Times New Roman"/>
          <w:sz w:val="24"/>
          <w:szCs w:val="24"/>
          <w:shd w:val="clear" w:color="auto" w:fill="FFFFFF"/>
        </w:rPr>
        <w:t>(1), 7.</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Stoughton, S. W. (2017). Terry v. Ohio and the (Un) Forgettable Frisk. </w:t>
      </w:r>
      <w:r w:rsidRPr="00BE72C0">
        <w:rPr>
          <w:rFonts w:ascii="Times New Roman" w:hAnsi="Times New Roman" w:cs="Times New Roman"/>
          <w:i/>
          <w:iCs/>
          <w:sz w:val="24"/>
          <w:szCs w:val="24"/>
          <w:shd w:val="clear" w:color="auto" w:fill="FFFFFF"/>
        </w:rPr>
        <w:t>Ohio St. J. Crim. L.</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15</w:t>
      </w:r>
      <w:r w:rsidRPr="00BE72C0">
        <w:rPr>
          <w:rFonts w:ascii="Times New Roman" w:hAnsi="Times New Roman" w:cs="Times New Roman"/>
          <w:sz w:val="24"/>
          <w:szCs w:val="24"/>
          <w:shd w:val="clear" w:color="auto" w:fill="FFFFFF"/>
        </w:rPr>
        <w:t>, 19.</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 xml:space="preserve">Terry v. Ohio. (2019). Retrieved from </w:t>
      </w:r>
      <w:hyperlink r:id="rId8" w:history="1">
        <w:r w:rsidRPr="00BE72C0">
          <w:rPr>
            <w:rStyle w:val="Hyperlink"/>
            <w:rFonts w:ascii="Times New Roman" w:hAnsi="Times New Roman" w:cs="Times New Roman"/>
            <w:color w:val="auto"/>
            <w:sz w:val="24"/>
            <w:szCs w:val="24"/>
            <w:shd w:val="clear" w:color="auto" w:fill="FFFFFF"/>
          </w:rPr>
          <w:t>https://www.law.cornell.edu/supremecourt/text/392/1</w:t>
        </w:r>
      </w:hyperlink>
    </w:p>
    <w:sectPr w:rsidR="00BE72C0" w:rsidRPr="00BE72C0" w:rsidSect="00A90D9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543" w:rsidRDefault="006B3543" w:rsidP="00A90D9C">
      <w:pPr>
        <w:spacing w:after="0" w:line="240" w:lineRule="auto"/>
      </w:pPr>
      <w:r>
        <w:separator/>
      </w:r>
    </w:p>
  </w:endnote>
  <w:endnote w:type="continuationSeparator" w:id="0">
    <w:p w:rsidR="006B3543" w:rsidRDefault="006B3543" w:rsidP="00A90D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543" w:rsidRDefault="006B3543" w:rsidP="00A90D9C">
      <w:pPr>
        <w:spacing w:after="0" w:line="240" w:lineRule="auto"/>
      </w:pPr>
      <w:r>
        <w:separator/>
      </w:r>
    </w:p>
  </w:footnote>
  <w:footnote w:type="continuationSeparator" w:id="0">
    <w:p w:rsidR="006B3543" w:rsidRDefault="006B3543" w:rsidP="00A90D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C0" w:rsidRPr="00BE72C0" w:rsidRDefault="003D32ED" w:rsidP="00A73170">
    <w:pPr>
      <w:pStyle w:val="Header"/>
      <w:rPr>
        <w:rFonts w:ascii="Times New Roman" w:hAnsi="Times New Roman" w:cs="Times New Roman"/>
        <w:sz w:val="24"/>
        <w:szCs w:val="24"/>
      </w:rPr>
    </w:pPr>
    <w:r>
      <w:rPr>
        <w:rFonts w:ascii="Times New Roman" w:hAnsi="Times New Roman" w:cs="Times New Roman"/>
        <w:sz w:val="24"/>
        <w:szCs w:val="24"/>
      </w:rPr>
      <w:t>(Insert)</w:t>
    </w:r>
    <w:r w:rsidR="007122F5">
      <w:rPr>
        <w:rFonts w:ascii="Times New Roman" w:hAnsi="Times New Roman" w:cs="Times New Roman"/>
        <w:sz w:val="24"/>
        <w:szCs w:val="24"/>
      </w:rPr>
      <w:tab/>
    </w:r>
    <w:r w:rsidR="00A73170">
      <w:rPr>
        <w:rFonts w:ascii="Times New Roman" w:hAnsi="Times New Roman" w:cs="Times New Roman"/>
        <w:sz w:val="24"/>
        <w:szCs w:val="24"/>
      </w:rPr>
      <w:tab/>
    </w:r>
    <w:r w:rsidR="00BE72C0" w:rsidRPr="00BE72C0">
      <w:rPr>
        <w:rFonts w:ascii="Times New Roman" w:hAnsi="Times New Roman" w:cs="Times New Roman"/>
        <w:sz w:val="24"/>
        <w:szCs w:val="24"/>
      </w:rPr>
      <w:t xml:space="preserve">     </w:t>
    </w:r>
    <w:r w:rsidR="00BE72C0">
      <w:rPr>
        <w:rFonts w:ascii="Times New Roman" w:hAnsi="Times New Roman" w:cs="Times New Roman"/>
        <w:sz w:val="24"/>
        <w:szCs w:val="24"/>
      </w:rPr>
      <w:t xml:space="preserve">                          </w:t>
    </w:r>
    <w:r w:rsidR="00BE72C0" w:rsidRPr="00BE72C0">
      <w:rPr>
        <w:rFonts w:ascii="Times New Roman" w:hAnsi="Times New Roman" w:cs="Times New Roman"/>
        <w:sz w:val="24"/>
        <w:szCs w:val="24"/>
      </w:rPr>
      <w:t xml:space="preserve">                                    </w:t>
    </w:r>
    <w:sdt>
      <w:sdtPr>
        <w:rPr>
          <w:rFonts w:ascii="Times New Roman" w:hAnsi="Times New Roman" w:cs="Times New Roman"/>
          <w:sz w:val="24"/>
          <w:szCs w:val="24"/>
        </w:rPr>
        <w:id w:val="669533534"/>
        <w:docPartObj>
          <w:docPartGallery w:val="Page Numbers (Top of Page)"/>
          <w:docPartUnique/>
        </w:docPartObj>
      </w:sdtPr>
      <w:sdtEndPr>
        <w:rPr>
          <w:noProof/>
        </w:rPr>
      </w:sdtEndPr>
      <w:sdtContent>
        <w:r w:rsidR="001B6A29" w:rsidRPr="00BE72C0">
          <w:rPr>
            <w:rFonts w:ascii="Times New Roman" w:hAnsi="Times New Roman" w:cs="Times New Roman"/>
            <w:sz w:val="24"/>
            <w:szCs w:val="24"/>
          </w:rPr>
          <w:fldChar w:fldCharType="begin"/>
        </w:r>
        <w:r w:rsidR="00BE72C0" w:rsidRPr="00BE72C0">
          <w:rPr>
            <w:rFonts w:ascii="Times New Roman" w:hAnsi="Times New Roman" w:cs="Times New Roman"/>
            <w:sz w:val="24"/>
            <w:szCs w:val="24"/>
          </w:rPr>
          <w:instrText xml:space="preserve"> PAGE   \* MERGEFORMAT </w:instrText>
        </w:r>
        <w:r w:rsidR="001B6A29" w:rsidRPr="00BE72C0">
          <w:rPr>
            <w:rFonts w:ascii="Times New Roman" w:hAnsi="Times New Roman" w:cs="Times New Roman"/>
            <w:sz w:val="24"/>
            <w:szCs w:val="24"/>
          </w:rPr>
          <w:fldChar w:fldCharType="separate"/>
        </w:r>
        <w:r w:rsidR="00E12662">
          <w:rPr>
            <w:rFonts w:ascii="Times New Roman" w:hAnsi="Times New Roman" w:cs="Times New Roman"/>
            <w:noProof/>
            <w:sz w:val="24"/>
            <w:szCs w:val="24"/>
          </w:rPr>
          <w:t>2</w:t>
        </w:r>
        <w:r w:rsidR="001B6A29" w:rsidRPr="00BE72C0">
          <w:rPr>
            <w:rFonts w:ascii="Times New Roman" w:hAnsi="Times New Roman" w:cs="Times New Roman"/>
            <w:noProof/>
            <w:sz w:val="24"/>
            <w:szCs w:val="24"/>
          </w:rPr>
          <w:fldChar w:fldCharType="end"/>
        </w:r>
      </w:sdtContent>
    </w:sdt>
  </w:p>
  <w:p w:rsidR="00BE72C0" w:rsidRDefault="00BE72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9C" w:rsidRPr="00A90D9C" w:rsidRDefault="00A90D9C">
    <w:pPr>
      <w:pStyle w:val="Header"/>
      <w:jc w:val="right"/>
      <w:rPr>
        <w:rFonts w:ascii="Times New Roman" w:hAnsi="Times New Roman" w:cs="Times New Roman"/>
        <w:sz w:val="24"/>
        <w:szCs w:val="24"/>
      </w:rPr>
    </w:pPr>
    <w:r w:rsidRPr="00A90D9C">
      <w:rPr>
        <w:rFonts w:ascii="Times New Roman" w:hAnsi="Times New Roman" w:cs="Times New Roman"/>
        <w:sz w:val="24"/>
        <w:szCs w:val="24"/>
      </w:rPr>
      <w:t>Run</w:t>
    </w:r>
    <w:r w:rsidR="00E12662">
      <w:rPr>
        <w:rFonts w:ascii="Times New Roman" w:hAnsi="Times New Roman" w:cs="Times New Roman"/>
        <w:sz w:val="24"/>
        <w:szCs w:val="24"/>
      </w:rPr>
      <w:t>ning head:</w:t>
    </w:r>
    <w:r w:rsidRPr="00A90D9C">
      <w:rPr>
        <w:rFonts w:ascii="Times New Roman" w:hAnsi="Times New Roman" w:cs="Times New Roman"/>
        <w:sz w:val="24"/>
        <w:szCs w:val="24"/>
      </w:rPr>
      <w:t xml:space="preserve"> TERRY V. OHIO</w:t>
    </w:r>
    <w:r w:rsidR="00E12662">
      <w:rPr>
        <w:rFonts w:ascii="Times New Roman" w:hAnsi="Times New Roman" w:cs="Times New Roman"/>
        <w:sz w:val="24"/>
        <w:szCs w:val="24"/>
      </w:rPr>
      <w:tab/>
    </w:r>
    <w:r w:rsidR="00E12662">
      <w:rPr>
        <w:rFonts w:ascii="Times New Roman" w:hAnsi="Times New Roman" w:cs="Times New Roman"/>
        <w:sz w:val="24"/>
        <w:szCs w:val="24"/>
      </w:rPr>
      <w:tab/>
    </w:r>
    <w:r w:rsidRPr="00A90D9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0D9C">
      <w:rPr>
        <w:rFonts w:ascii="Times New Roman" w:hAnsi="Times New Roman" w:cs="Times New Roman"/>
        <w:sz w:val="24"/>
        <w:szCs w:val="24"/>
      </w:rPr>
      <w:t xml:space="preserve">   </w:t>
    </w:r>
    <w:sdt>
      <w:sdtPr>
        <w:rPr>
          <w:rFonts w:ascii="Times New Roman" w:hAnsi="Times New Roman" w:cs="Times New Roman"/>
          <w:sz w:val="24"/>
          <w:szCs w:val="24"/>
        </w:rPr>
        <w:id w:val="-2023224212"/>
        <w:docPartObj>
          <w:docPartGallery w:val="Page Numbers (Top of Page)"/>
          <w:docPartUnique/>
        </w:docPartObj>
      </w:sdtPr>
      <w:sdtEndPr>
        <w:rPr>
          <w:noProof/>
        </w:rPr>
      </w:sdtEndPr>
      <w:sdtContent>
        <w:r w:rsidR="001B6A29" w:rsidRPr="00A90D9C">
          <w:rPr>
            <w:rFonts w:ascii="Times New Roman" w:hAnsi="Times New Roman" w:cs="Times New Roman"/>
            <w:sz w:val="24"/>
            <w:szCs w:val="24"/>
          </w:rPr>
          <w:fldChar w:fldCharType="begin"/>
        </w:r>
        <w:r w:rsidRPr="00A90D9C">
          <w:rPr>
            <w:rFonts w:ascii="Times New Roman" w:hAnsi="Times New Roman" w:cs="Times New Roman"/>
            <w:sz w:val="24"/>
            <w:szCs w:val="24"/>
          </w:rPr>
          <w:instrText xml:space="preserve"> PAGE   \* MERGEFORMAT </w:instrText>
        </w:r>
        <w:r w:rsidR="001B6A29" w:rsidRPr="00A90D9C">
          <w:rPr>
            <w:rFonts w:ascii="Times New Roman" w:hAnsi="Times New Roman" w:cs="Times New Roman"/>
            <w:sz w:val="24"/>
            <w:szCs w:val="24"/>
          </w:rPr>
          <w:fldChar w:fldCharType="separate"/>
        </w:r>
        <w:r w:rsidR="006B3543">
          <w:rPr>
            <w:rFonts w:ascii="Times New Roman" w:hAnsi="Times New Roman" w:cs="Times New Roman"/>
            <w:noProof/>
            <w:sz w:val="24"/>
            <w:szCs w:val="24"/>
          </w:rPr>
          <w:t>1</w:t>
        </w:r>
        <w:r w:rsidR="001B6A29" w:rsidRPr="00A90D9C">
          <w:rPr>
            <w:rFonts w:ascii="Times New Roman" w:hAnsi="Times New Roman" w:cs="Times New Roman"/>
            <w:noProof/>
            <w:sz w:val="24"/>
            <w:szCs w:val="24"/>
          </w:rPr>
          <w:fldChar w:fldCharType="end"/>
        </w:r>
      </w:sdtContent>
    </w:sdt>
  </w:p>
  <w:p w:rsidR="00A90D9C" w:rsidRDefault="00A90D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27F92"/>
    <w:rsid w:val="000A68B5"/>
    <w:rsid w:val="000B0B9E"/>
    <w:rsid w:val="000F5171"/>
    <w:rsid w:val="00116DD7"/>
    <w:rsid w:val="001906C3"/>
    <w:rsid w:val="001929EF"/>
    <w:rsid w:val="001B6A29"/>
    <w:rsid w:val="0026029A"/>
    <w:rsid w:val="00275806"/>
    <w:rsid w:val="00293AB7"/>
    <w:rsid w:val="002E26BF"/>
    <w:rsid w:val="003248EE"/>
    <w:rsid w:val="0032713D"/>
    <w:rsid w:val="00363107"/>
    <w:rsid w:val="003B28B6"/>
    <w:rsid w:val="003D32ED"/>
    <w:rsid w:val="003F5523"/>
    <w:rsid w:val="004933CC"/>
    <w:rsid w:val="004C3C14"/>
    <w:rsid w:val="004D1890"/>
    <w:rsid w:val="00545B95"/>
    <w:rsid w:val="006023F0"/>
    <w:rsid w:val="006168CB"/>
    <w:rsid w:val="00693095"/>
    <w:rsid w:val="006B3543"/>
    <w:rsid w:val="007122F5"/>
    <w:rsid w:val="0071599D"/>
    <w:rsid w:val="00725FCE"/>
    <w:rsid w:val="007855F1"/>
    <w:rsid w:val="007B30D8"/>
    <w:rsid w:val="00826BC6"/>
    <w:rsid w:val="008D464E"/>
    <w:rsid w:val="00931E9B"/>
    <w:rsid w:val="00993AAB"/>
    <w:rsid w:val="00996764"/>
    <w:rsid w:val="009B28F2"/>
    <w:rsid w:val="009B3666"/>
    <w:rsid w:val="009F6A37"/>
    <w:rsid w:val="00A6479D"/>
    <w:rsid w:val="00A73170"/>
    <w:rsid w:val="00A771BC"/>
    <w:rsid w:val="00A90D9C"/>
    <w:rsid w:val="00B47DF6"/>
    <w:rsid w:val="00B72E86"/>
    <w:rsid w:val="00BE56F6"/>
    <w:rsid w:val="00BE72C0"/>
    <w:rsid w:val="00C31452"/>
    <w:rsid w:val="00C974CF"/>
    <w:rsid w:val="00CA482F"/>
    <w:rsid w:val="00CB1C40"/>
    <w:rsid w:val="00CE2E31"/>
    <w:rsid w:val="00D27F92"/>
    <w:rsid w:val="00DB5B03"/>
    <w:rsid w:val="00DF0F4A"/>
    <w:rsid w:val="00E05DD0"/>
    <w:rsid w:val="00E06D5B"/>
    <w:rsid w:val="00E10767"/>
    <w:rsid w:val="00E12662"/>
    <w:rsid w:val="00E15C6E"/>
    <w:rsid w:val="00E4728C"/>
    <w:rsid w:val="00E80F9D"/>
    <w:rsid w:val="00EB43EF"/>
    <w:rsid w:val="00F2111E"/>
    <w:rsid w:val="00F65E26"/>
    <w:rsid w:val="00FE2265"/>
    <w:rsid w:val="00FE4E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E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5F1"/>
    <w:rPr>
      <w:color w:val="0000FF"/>
      <w:u w:val="single"/>
    </w:rPr>
  </w:style>
  <w:style w:type="character" w:customStyle="1" w:styleId="UnresolvedMention">
    <w:name w:val="Unresolved Mention"/>
    <w:basedOn w:val="DefaultParagraphFont"/>
    <w:uiPriority w:val="99"/>
    <w:semiHidden/>
    <w:unhideWhenUsed/>
    <w:rsid w:val="006168CB"/>
    <w:rPr>
      <w:color w:val="605E5C"/>
      <w:shd w:val="clear" w:color="auto" w:fill="E1DFDD"/>
    </w:rPr>
  </w:style>
  <w:style w:type="paragraph" w:styleId="Header">
    <w:name w:val="header"/>
    <w:basedOn w:val="Normal"/>
    <w:link w:val="HeaderChar"/>
    <w:uiPriority w:val="99"/>
    <w:unhideWhenUsed/>
    <w:rsid w:val="00A90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D9C"/>
  </w:style>
  <w:style w:type="paragraph" w:styleId="Footer">
    <w:name w:val="footer"/>
    <w:basedOn w:val="Normal"/>
    <w:link w:val="FooterChar"/>
    <w:uiPriority w:val="99"/>
    <w:unhideWhenUsed/>
    <w:rsid w:val="00A90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D9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supremecourt/text/392/1" TargetMode="External"/><Relationship Id="rId3" Type="http://schemas.openxmlformats.org/officeDocument/2006/relationships/webSettings" Target="webSettings.xml"/><Relationship Id="rId7" Type="http://schemas.openxmlformats.org/officeDocument/2006/relationships/hyperlink" Target="https://www.law.cornell.edu/supct/html/02-102.ZO.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1999/03/29/nyregion/the-diallo-shooting-the-stop-and-frisk-procedure-was-once-to-protect-the-police.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1482</Words>
  <Characters>8449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FRANK</cp:lastModifiedBy>
  <cp:revision>2</cp:revision>
  <dcterms:created xsi:type="dcterms:W3CDTF">2019-03-31T21:26:00Z</dcterms:created>
  <dcterms:modified xsi:type="dcterms:W3CDTF">2019-03-31T21:26:00Z</dcterms:modified>
</cp:coreProperties>
</file>